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09" w:rsidRPr="00692854" w:rsidRDefault="00AC3B09" w:rsidP="00AC3B0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</w:rPr>
      </w:pPr>
      <w:proofErr w:type="gramStart"/>
      <w:r w:rsidRPr="00692854">
        <w:rPr>
          <w:rFonts w:ascii="Arial" w:eastAsia="Times New Roman" w:hAnsi="Arial" w:cs="Arial"/>
          <w:b/>
          <w:bCs/>
          <w:color w:val="0A2020"/>
        </w:rPr>
        <w:t>12 POINT</w:t>
      </w:r>
      <w:proofErr w:type="gramEnd"/>
      <w:r w:rsidRPr="00692854">
        <w:rPr>
          <w:rFonts w:ascii="Arial" w:eastAsia="Times New Roman" w:hAnsi="Arial" w:cs="Arial"/>
          <w:b/>
          <w:bCs/>
          <w:color w:val="0A2020"/>
        </w:rPr>
        <w:t xml:space="preserve"> CHARTER OF DEMANDS</w:t>
      </w:r>
    </w:p>
    <w:p w:rsidR="00AC3B09" w:rsidRPr="00692854" w:rsidRDefault="00AC3B09" w:rsidP="00AC3B0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</w:rPr>
      </w:pPr>
      <w:r w:rsidRPr="00692854">
        <w:rPr>
          <w:rFonts w:ascii="Arial" w:eastAsia="Times New Roman" w:hAnsi="Arial" w:cs="Arial"/>
          <w:b/>
          <w:bCs/>
          <w:color w:val="0A2020"/>
        </w:rPr>
        <w:t> 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 </w:t>
      </w:r>
    </w:p>
    <w:p w:rsidR="00AC3B09" w:rsidRPr="00F5549A" w:rsidRDefault="00AC3B09" w:rsidP="00D924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Ur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g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ent measures for containing price-rise through </w:t>
      </w:r>
      <w:proofErr w:type="spellStart"/>
      <w:r w:rsidRPr="00F5549A">
        <w:rPr>
          <w:rFonts w:ascii="Arial" w:eastAsia="Times New Roman" w:hAnsi="Arial" w:cs="Arial"/>
          <w:color w:val="0A2020"/>
          <w:sz w:val="24"/>
          <w:szCs w:val="24"/>
        </w:rPr>
        <w:t>universal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i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sation</w:t>
      </w:r>
      <w:proofErr w:type="spellEnd"/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 of public distribution system and banning speculative trade in commodity market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223635"/>
          <w:sz w:val="24"/>
          <w:szCs w:val="24"/>
        </w:rPr>
        <w:t> 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2.</w:t>
      </w:r>
      <w:r w:rsidRPr="00F5549A">
        <w:rPr>
          <w:rFonts w:ascii="Times New Roman" w:eastAsia="Times New Roman" w:hAnsi="Times New Roman" w:cs="Times New Roman"/>
          <w:color w:val="0A2020"/>
          <w:sz w:val="24"/>
          <w:szCs w:val="24"/>
        </w:rPr>
        <w:t xml:space="preserve">   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C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o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n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tain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i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ng unemployment through concrete measures for employment generation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223635"/>
          <w:sz w:val="24"/>
          <w:szCs w:val="24"/>
        </w:rPr>
        <w:t> 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549A">
        <w:rPr>
          <w:rFonts w:ascii="Arial" w:eastAsia="Times New Roman" w:hAnsi="Arial" w:cs="Arial"/>
          <w:color w:val="0A2020"/>
          <w:sz w:val="24"/>
          <w:szCs w:val="24"/>
        </w:rPr>
        <w:t>3.</w:t>
      </w:r>
      <w:r w:rsidRPr="00F5549A">
        <w:rPr>
          <w:rFonts w:ascii="Times New Roman" w:eastAsia="Times New Roman" w:hAnsi="Times New Roman" w:cs="Times New Roman"/>
          <w:color w:val="0A2020"/>
          <w:sz w:val="24"/>
          <w:szCs w:val="24"/>
        </w:rPr>
        <w:t xml:space="preserve">   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S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tric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t enforcement of all basic </w:t>
      </w:r>
      <w:proofErr w:type="spellStart"/>
      <w:r w:rsidRPr="00F5549A">
        <w:rPr>
          <w:rFonts w:ascii="Arial" w:eastAsia="Times New Roman" w:hAnsi="Arial" w:cs="Arial"/>
          <w:color w:val="0A2020"/>
          <w:sz w:val="24"/>
          <w:szCs w:val="24"/>
        </w:rPr>
        <w:t>labour</w:t>
      </w:r>
      <w:proofErr w:type="spellEnd"/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 laws without any exception o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 xml:space="preserve">r 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exemption and stringent puni</w:t>
      </w:r>
      <w:r w:rsidRPr="00F5549A">
        <w:rPr>
          <w:rFonts w:ascii="Arial" w:eastAsia="Times New Roman" w:hAnsi="Arial" w:cs="Arial"/>
          <w:color w:val="000803"/>
          <w:sz w:val="24"/>
          <w:szCs w:val="24"/>
        </w:rPr>
        <w:t>t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ive measures for violation of </w:t>
      </w:r>
      <w:proofErr w:type="spellStart"/>
      <w:r w:rsidRPr="00F5549A">
        <w:rPr>
          <w:rFonts w:ascii="Arial" w:eastAsia="Times New Roman" w:hAnsi="Arial" w:cs="Arial"/>
          <w:color w:val="0A2020"/>
          <w:sz w:val="24"/>
          <w:szCs w:val="24"/>
        </w:rPr>
        <w:t>labour</w:t>
      </w:r>
      <w:proofErr w:type="spellEnd"/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 laws.</w:t>
      </w:r>
      <w:proofErr w:type="gramEnd"/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 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4.</w:t>
      </w:r>
      <w:r w:rsidRPr="00F5549A">
        <w:rPr>
          <w:rFonts w:ascii="Times New Roman" w:eastAsia="Times New Roman" w:hAnsi="Times New Roman" w:cs="Times New Roman"/>
          <w:color w:val="0A2020"/>
          <w:sz w:val="24"/>
          <w:szCs w:val="24"/>
        </w:rPr>
        <w:t xml:space="preserve">   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Un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i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versal social secur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it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y </w:t>
      </w:r>
      <w:proofErr w:type="gramStart"/>
      <w:r w:rsidRPr="00F5549A">
        <w:rPr>
          <w:rFonts w:ascii="Arial" w:eastAsia="Times New Roman" w:hAnsi="Arial" w:cs="Arial"/>
          <w:color w:val="0A2020"/>
          <w:sz w:val="24"/>
          <w:szCs w:val="24"/>
        </w:rPr>
        <w:t>cover</w:t>
      </w:r>
      <w:proofErr w:type="gramEnd"/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 for all workers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 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5.</w:t>
      </w:r>
      <w:r w:rsidRPr="00F5549A">
        <w:rPr>
          <w:rFonts w:ascii="Times New Roman" w:eastAsia="Times New Roman" w:hAnsi="Times New Roman" w:cs="Times New Roman"/>
          <w:color w:val="0A2020"/>
          <w:sz w:val="24"/>
          <w:szCs w:val="24"/>
        </w:rPr>
        <w:t>  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Minimum wages of not less than Rs 18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,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000/- per month with prov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i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sions of 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i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ndexation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 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6.</w:t>
      </w:r>
      <w:r w:rsidRPr="00F5549A">
        <w:rPr>
          <w:rFonts w:ascii="Times New Roman" w:eastAsia="Times New Roman" w:hAnsi="Times New Roman" w:cs="Times New Roman"/>
          <w:color w:val="0A2020"/>
          <w:sz w:val="24"/>
          <w:szCs w:val="24"/>
        </w:rPr>
        <w:t>   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Assured enhanced pension not less than Rs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.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3</w:t>
      </w:r>
      <w:proofErr w:type="gramStart"/>
      <w:r w:rsidRPr="00F5549A">
        <w:rPr>
          <w:rFonts w:ascii="Arial" w:eastAsia="Times New Roman" w:hAnsi="Arial" w:cs="Arial"/>
          <w:color w:val="223635"/>
          <w:sz w:val="24"/>
          <w:szCs w:val="24"/>
        </w:rPr>
        <w:t>,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000</w:t>
      </w:r>
      <w:proofErr w:type="gramEnd"/>
      <w:r w:rsidRPr="00F5549A">
        <w:rPr>
          <w:rFonts w:ascii="Arial" w:eastAsia="Times New Roman" w:hAnsi="Arial" w:cs="Arial"/>
          <w:color w:val="0A2020"/>
          <w:sz w:val="24"/>
          <w:szCs w:val="24"/>
        </w:rPr>
        <w:t>/- p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.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m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 xml:space="preserve">. 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for the entire wo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r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king po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p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ulation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 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7.</w:t>
      </w:r>
      <w:r w:rsidRPr="00F5549A">
        <w:rPr>
          <w:rFonts w:ascii="Times New Roman" w:eastAsia="Times New Roman" w:hAnsi="Times New Roman" w:cs="Times New Roman"/>
          <w:color w:val="0A2020"/>
          <w:sz w:val="24"/>
          <w:szCs w:val="24"/>
        </w:rPr>
        <w:t>    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Stoppage of disinvestment in Central/State PSUs and strategic sale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 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8.</w:t>
      </w:r>
      <w:r w:rsidRPr="00F5549A">
        <w:rPr>
          <w:rFonts w:ascii="Times New Roman" w:eastAsia="Times New Roman" w:hAnsi="Times New Roman" w:cs="Times New Roman"/>
          <w:color w:val="0A2020"/>
          <w:sz w:val="24"/>
          <w:szCs w:val="24"/>
        </w:rPr>
        <w:t>    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Stoppage of </w:t>
      </w:r>
      <w:proofErr w:type="spellStart"/>
      <w:r w:rsidRPr="00F5549A">
        <w:rPr>
          <w:rFonts w:ascii="Arial" w:eastAsia="Times New Roman" w:hAnsi="Arial" w:cs="Arial"/>
          <w:color w:val="0A2020"/>
          <w:sz w:val="24"/>
          <w:szCs w:val="24"/>
        </w:rPr>
        <w:t>contractorisation</w:t>
      </w:r>
      <w:proofErr w:type="spellEnd"/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 in permanent perennial work and payment of same wage and benefits for contract workers as regular workers fo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 xml:space="preserve">r 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sam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 xml:space="preserve">e 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 xml:space="preserve">and </w:t>
      </w:r>
      <w:r w:rsidRPr="00F5549A">
        <w:rPr>
          <w:rFonts w:ascii="Arial" w:eastAsia="Times New Roman" w:hAnsi="Arial" w:cs="Arial"/>
          <w:color w:val="223635"/>
          <w:sz w:val="24"/>
          <w:szCs w:val="24"/>
        </w:rPr>
        <w:t>simi</w:t>
      </w:r>
      <w:r w:rsidRPr="00F5549A">
        <w:rPr>
          <w:rFonts w:ascii="Arial" w:eastAsia="Times New Roman" w:hAnsi="Arial" w:cs="Arial"/>
          <w:color w:val="0A2020"/>
          <w:sz w:val="24"/>
          <w:szCs w:val="24"/>
        </w:rPr>
        <w:t>lar work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A2020"/>
          <w:sz w:val="24"/>
          <w:szCs w:val="24"/>
        </w:rPr>
        <w:t> </w:t>
      </w:r>
    </w:p>
    <w:p w:rsidR="00AC3B09" w:rsidRPr="00F5549A" w:rsidRDefault="00AC3B09" w:rsidP="00AC3B0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F55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F5549A">
        <w:rPr>
          <w:rFonts w:ascii="Arial" w:eastAsia="Times New Roman" w:hAnsi="Arial" w:cs="Arial"/>
          <w:color w:val="000000"/>
          <w:sz w:val="24"/>
          <w:szCs w:val="24"/>
        </w:rPr>
        <w:t>Removal of all ceilings on payment and eligibility of bonus, provident fund; increase the quantum of gratuity.</w:t>
      </w:r>
    </w:p>
    <w:p w:rsidR="00AC3B09" w:rsidRPr="00F5549A" w:rsidRDefault="00AC3B09" w:rsidP="00D92448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00000"/>
          <w:sz w:val="24"/>
          <w:szCs w:val="24"/>
        </w:rPr>
        <w:t> 10.</w:t>
      </w:r>
      <w:r w:rsidRPr="00F5549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5549A">
        <w:rPr>
          <w:rFonts w:ascii="Arial" w:eastAsia="Times New Roman" w:hAnsi="Arial" w:cs="Arial"/>
          <w:color w:val="000000"/>
          <w:sz w:val="24"/>
          <w:szCs w:val="24"/>
        </w:rPr>
        <w:t>Compulsory registration of trade unions within a period of 45 days from the date of submitting application; and immediate ratification of ILO Conventions C 87 and C 98</w:t>
      </w:r>
    </w:p>
    <w:p w:rsidR="00AC3B09" w:rsidRPr="00F5549A" w:rsidRDefault="00AC3B09" w:rsidP="00D92448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00000"/>
          <w:sz w:val="24"/>
          <w:szCs w:val="24"/>
        </w:rPr>
        <w:t> 11.</w:t>
      </w:r>
      <w:r w:rsidRPr="00F55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gramStart"/>
      <w:r w:rsidRPr="00F5549A">
        <w:rPr>
          <w:rFonts w:ascii="Arial" w:eastAsia="Times New Roman" w:hAnsi="Arial" w:cs="Arial"/>
          <w:color w:val="000000"/>
          <w:sz w:val="24"/>
          <w:szCs w:val="24"/>
        </w:rPr>
        <w:t>Against</w:t>
      </w:r>
      <w:proofErr w:type="gramEnd"/>
      <w:r w:rsidRPr="00F554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549A">
        <w:rPr>
          <w:rFonts w:ascii="Arial" w:eastAsia="Times New Roman" w:hAnsi="Arial" w:cs="Arial"/>
          <w:color w:val="000000"/>
          <w:sz w:val="24"/>
          <w:szCs w:val="24"/>
        </w:rPr>
        <w:t>Labour</w:t>
      </w:r>
      <w:proofErr w:type="spellEnd"/>
      <w:r w:rsidRPr="00F5549A">
        <w:rPr>
          <w:rFonts w:ascii="Arial" w:eastAsia="Times New Roman" w:hAnsi="Arial" w:cs="Arial"/>
          <w:color w:val="000000"/>
          <w:sz w:val="24"/>
          <w:szCs w:val="24"/>
        </w:rPr>
        <w:t xml:space="preserve"> Law Amendments</w:t>
      </w:r>
    </w:p>
    <w:p w:rsidR="00AC3B09" w:rsidRPr="00F5549A" w:rsidRDefault="00AC3B09" w:rsidP="00D92448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F5549A">
        <w:rPr>
          <w:rFonts w:ascii="Arial" w:eastAsia="Times New Roman" w:hAnsi="Arial" w:cs="Arial"/>
          <w:color w:val="000000"/>
          <w:sz w:val="24"/>
          <w:szCs w:val="24"/>
        </w:rPr>
        <w:t> 12.</w:t>
      </w:r>
      <w:r w:rsidRPr="00F55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gramStart"/>
      <w:r w:rsidRPr="00F5549A">
        <w:rPr>
          <w:rFonts w:ascii="Arial" w:eastAsia="Times New Roman" w:hAnsi="Arial" w:cs="Arial"/>
          <w:color w:val="000000"/>
          <w:sz w:val="24"/>
          <w:szCs w:val="24"/>
        </w:rPr>
        <w:t>Against</w:t>
      </w:r>
      <w:proofErr w:type="gramEnd"/>
      <w:r w:rsidRPr="00F5549A">
        <w:rPr>
          <w:rFonts w:ascii="Arial" w:eastAsia="Times New Roman" w:hAnsi="Arial" w:cs="Arial"/>
          <w:color w:val="000000"/>
          <w:sz w:val="24"/>
          <w:szCs w:val="24"/>
        </w:rPr>
        <w:t xml:space="preserve"> FDI in Railways, Insurance and </w:t>
      </w:r>
      <w:proofErr w:type="spellStart"/>
      <w:r w:rsidRPr="00F5549A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F554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A5F1E" w:rsidRPr="00F5549A" w:rsidRDefault="003A5F1E">
      <w:pPr>
        <w:rPr>
          <w:sz w:val="24"/>
          <w:szCs w:val="24"/>
        </w:rPr>
      </w:pPr>
    </w:p>
    <w:sectPr w:rsidR="003A5F1E" w:rsidRPr="00F5549A" w:rsidSect="00D1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400"/>
    <w:multiLevelType w:val="hybridMultilevel"/>
    <w:tmpl w:val="663C8E22"/>
    <w:lvl w:ilvl="0" w:tplc="28CEC4AA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color w:val="0A20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AC3B09"/>
    <w:rsid w:val="001B28B1"/>
    <w:rsid w:val="003A5F1E"/>
    <w:rsid w:val="00692854"/>
    <w:rsid w:val="00AC3B09"/>
    <w:rsid w:val="00D10DC4"/>
    <w:rsid w:val="00D92448"/>
    <w:rsid w:val="00F5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pqr</dc:creator>
  <cp:keywords/>
  <dc:description/>
  <cp:lastModifiedBy>pqr</cp:lastModifiedBy>
  <cp:revision>5</cp:revision>
  <dcterms:created xsi:type="dcterms:W3CDTF">2016-08-31T11:52:00Z</dcterms:created>
  <dcterms:modified xsi:type="dcterms:W3CDTF">2017-07-23T12:07:00Z</dcterms:modified>
</cp:coreProperties>
</file>